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83" w:rsidRPr="00BC77CC" w:rsidRDefault="00D66483">
      <w:pPr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lang w:val="en-GB"/>
        </w:rPr>
        <w:t>New!</w:t>
      </w:r>
    </w:p>
    <w:p w:rsidR="00FF620A" w:rsidRPr="00BC77CC" w:rsidRDefault="008F1F8A">
      <w:pPr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Is</w:t>
      </w:r>
      <w:r w:rsidR="00FF620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your horse get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ting</w:t>
      </w:r>
      <w:r w:rsidR="00FF620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enough vitamins and minerals?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A healthy ration for a horse consists mainly of roughage, supplemented with concentrated feed if needed. Only the amount of vitamins, minerals and trace minerals which a horse gets through 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its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daily ration of roughage is often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not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enough.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8F1F8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Is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your horse get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ting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little or no concentrated feed? Then giving a daily balancer like Pavo Vital is a necessary addition. 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Pavo, the answer to your feeding questions!</w:t>
      </w:r>
    </w:p>
    <w:p w:rsidR="00FF620A" w:rsidRPr="00BC77CC" w:rsidRDefault="00FF620A" w:rsidP="00FF62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highlight w:val="yellow"/>
          <w:lang w:val="en-GB"/>
        </w:rPr>
        <w:t>&lt;middle&gt;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Pavo Vital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i/>
          <w:color w:val="000000"/>
          <w:sz w:val="21"/>
          <w:szCs w:val="21"/>
          <w:lang w:val="en-GB"/>
        </w:rPr>
        <w:t>For the optimal health of your horse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Pavo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is introducing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 new generation of balancers with Pavo Vital: a delicate pellet which contains all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the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necessary vitamins and minerals that your horse needs, made from 100% natural ingredients and without any unnecessary supplements. And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thanks to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the special trace elements from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I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ntellibond it is even tastier!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4"/>
          <w:szCs w:val="21"/>
          <w:lang w:val="en-GB"/>
        </w:rPr>
        <w:t>When shou</w:t>
      </w:r>
      <w:r w:rsidR="008F1F8A" w:rsidRPr="00BC77CC">
        <w:rPr>
          <w:rFonts w:ascii="Segoe UI" w:hAnsi="Segoe UI" w:cs="Segoe UI"/>
          <w:b/>
          <w:color w:val="000000"/>
          <w:sz w:val="24"/>
          <w:szCs w:val="21"/>
          <w:lang w:val="en-GB"/>
        </w:rPr>
        <w:t>l</w:t>
      </w:r>
      <w:r w:rsidRPr="00BC77CC">
        <w:rPr>
          <w:rFonts w:ascii="Segoe UI" w:hAnsi="Segoe UI" w:cs="Segoe UI"/>
          <w:b/>
          <w:color w:val="000000"/>
          <w:sz w:val="24"/>
          <w:szCs w:val="21"/>
          <w:lang w:val="en-GB"/>
        </w:rPr>
        <w:t>d you give a balancer?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If you give no </w:t>
      </w:r>
      <w:r w:rsidR="008F1F8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concentrated feed 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or less than 1</w:t>
      </w:r>
      <w:r w:rsidR="008F1F8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.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5</w:t>
      </w:r>
      <w:r w:rsidR="005653E8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kg concentrated feed per day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If you feed your horse 1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.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5-2</w:t>
      </w:r>
      <w:r w:rsidR="005653E8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kg concentrated feed per day, you cover the vitamin and mineral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needs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of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your horse. For a pony of 100</w:t>
      </w:r>
      <w:r w:rsidR="005653E8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kg this is 0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.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75</w:t>
      </w:r>
      <w:r w:rsidR="005653E8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kg per day.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If your horse only gets roughage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You can't tell from just looking at hay and pre-dry how many vitamins and minerals are in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them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. With Pavo Vital your horse get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s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a completely balanced dose of vitamins and minerals. 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4"/>
          <w:szCs w:val="21"/>
          <w:lang w:val="en-GB"/>
        </w:rPr>
        <w:t>Why choose for Pavo Vital as a balancer?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Pavo Vital contain</w:t>
      </w:r>
      <w:r w:rsidR="008F1F8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s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</w:t>
      </w:r>
      <w:r w:rsidR="008F1F8A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the latest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generation </w:t>
      </w:r>
      <w:r w:rsidR="00FA2E63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of 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trace elements: Intellibond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Copper and zinc naturally have a very bad taste, but by using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Intellibond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the taste of those trace minerals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is only released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in the </w:t>
      </w:r>
      <w:r w:rsidR="008F1F8A" w:rsidRPr="00BC77CC">
        <w:rPr>
          <w:rFonts w:ascii="Segoe UI" w:hAnsi="Segoe UI" w:cs="Segoe UI"/>
          <w:color w:val="000000"/>
          <w:sz w:val="21"/>
          <w:szCs w:val="21"/>
          <w:lang w:val="en-GB"/>
        </w:rPr>
        <w:t>stomach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not the mouth of the horse. 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As a result,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the taste does not influence the intake and there is no more trouble with the daily intake. Together with the addition of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timothy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lucerne,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it results in a very tasty feed.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Pavo Vital is compiled on the basis of the latest research data and insights regarding feed balancers</w:t>
      </w:r>
    </w:p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bookmarkStart w:id="0" w:name="_GoBack"/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free of grains and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molasses</w:t>
      </w:r>
    </w:p>
    <w:bookmarkEnd w:id="0"/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extremely low in sugar and starch</w:t>
      </w:r>
    </w:p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natural ingredients such as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timothy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lucerne</w:t>
      </w:r>
    </w:p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good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edible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Intellibond trace elements</w:t>
      </w:r>
    </w:p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extra biotin (supports hoof quality)</w:t>
      </w:r>
    </w:p>
    <w:p w:rsidR="00FF620A" w:rsidRPr="00BC77CC" w:rsidRDefault="00AA6F06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high 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>amount of vitamin E and selenium (supports skin and muscle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>health)</w:t>
      </w:r>
    </w:p>
    <w:p w:rsidR="00FF620A" w:rsidRPr="00BC77CC" w:rsidRDefault="00FF620A" w:rsidP="00FF620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lastRenderedPageBreak/>
        <w:t xml:space="preserve">reduced amount of iron and vitamin A, because this is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supplied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more than sufficient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ly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in roughage</w:t>
      </w:r>
    </w:p>
    <w:p w:rsidR="00FF620A" w:rsidRPr="00BC77CC" w:rsidRDefault="00FF620A">
      <w:pPr>
        <w:rPr>
          <w:lang w:val="en-GB"/>
        </w:rPr>
      </w:pPr>
    </w:p>
    <w:p w:rsidR="00FF620A" w:rsidRPr="00BC77CC" w:rsidRDefault="00FF620A" w:rsidP="00FF620A">
      <w:pPr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All vitamins and minerals are sc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i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entifically matched. No more hassle with many jars or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the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risk of overdose. A daily supplementation with Pavo Vital according to the guidelines is enough to support the body processes in your horse optimally.</w:t>
      </w:r>
    </w:p>
    <w:p w:rsidR="00FF620A" w:rsidRPr="00BC77CC" w:rsidRDefault="00FF620A" w:rsidP="00FF620A">
      <w:pPr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Attention! One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scoop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of feed is not the same as 1 kg!</w:t>
      </w:r>
    </w:p>
    <w:p w:rsidR="00FF620A" w:rsidRPr="00BC77CC" w:rsidRDefault="00D66483" w:rsidP="00D66483">
      <w:pPr>
        <w:rPr>
          <w:lang w:val="en-GB"/>
        </w:rPr>
      </w:pPr>
      <w:r w:rsidRPr="00BC77CC">
        <w:rPr>
          <w:lang w:val="en-GB"/>
        </w:rPr>
        <w:t>Tasty!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4"/>
          <w:szCs w:val="21"/>
          <w:lang w:val="en-GB"/>
        </w:rPr>
        <w:t>For which horses is Pavo Vital suited?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Horses </w:t>
      </w:r>
      <w:r w:rsidR="00FA2E63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that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get little or no concentrated feed</w:t>
      </w:r>
    </w:p>
    <w:p w:rsidR="00FF620A" w:rsidRPr="00BC77CC" w:rsidRDefault="0006192F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A deficiency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of vitamins and minerals can occur when a horse gets less than 1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.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5 kg of concentrated 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feed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per day (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for a 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>pony less than 0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.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>75</w:t>
      </w:r>
      <w:r w:rsidR="005653E8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kg/day). A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deficiency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of vitamins and minerals can't always be seen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from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the external appearance of the horse. Signs of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a deficiency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can be: fragile hooves, dull coat, skin problems or muscle stiffness.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Horses with a </w:t>
      </w:r>
      <w:r w:rsidR="0006192F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low-sugar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ration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Because Pavo Vital contain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s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little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sugar and starch as possible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,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it is suitable for horses that need a ration which is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low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in sugars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>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Horses that need to </w:t>
      </w:r>
      <w:r w:rsidR="0006192F"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lose</w:t>
      </w: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 xml:space="preserve"> weight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If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overweight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horses have to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lose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weight, it is often advised not to give any concentrated feed anymore. Make sure to always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give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sufficient roughage.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A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dd the necessary vitamins and minerals by giving Pavo Vital.</w:t>
      </w:r>
    </w:p>
    <w:p w:rsidR="00FF620A" w:rsidRPr="00BC77CC" w:rsidRDefault="00FF620A" w:rsidP="00FF620A">
      <w:pPr>
        <w:pBdr>
          <w:bottom w:val="single" w:sz="6" w:space="1" w:color="auto"/>
        </w:pBdr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highlight w:val="yellow"/>
          <w:lang w:val="en-GB"/>
        </w:rPr>
        <w:t>&lt;back&gt;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b/>
          <w:color w:val="000000"/>
          <w:sz w:val="21"/>
          <w:szCs w:val="21"/>
          <w:lang w:val="en-GB"/>
        </w:rPr>
        <w:t>Pavo Vital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i/>
          <w:color w:val="000000"/>
          <w:sz w:val="21"/>
          <w:szCs w:val="21"/>
          <w:lang w:val="en-GB"/>
        </w:rPr>
        <w:t>For optimal health for your horse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Pavo Vital is an innovative balancer for horses and ponies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that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get little or no concentrated feed in addition to their roughage.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It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has a tasty, healthy and natural basis of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timothy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lucerne.</w:t>
      </w:r>
    </w:p>
    <w:p w:rsidR="00FF620A" w:rsidRPr="00BC77CC" w:rsidRDefault="00FF620A" w:rsidP="00FF62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FF620A" w:rsidRPr="00BC77CC" w:rsidRDefault="00FF620A" w:rsidP="00FF62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Free of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molasses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grains</w:t>
      </w:r>
    </w:p>
    <w:p w:rsidR="00FF620A" w:rsidRPr="00BC77CC" w:rsidRDefault="00FF620A" w:rsidP="00FF62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Very low in sugar and starch</w:t>
      </w:r>
    </w:p>
    <w:p w:rsidR="00FF620A" w:rsidRPr="00BC77CC" w:rsidRDefault="00FF620A" w:rsidP="00FF62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100% natural ingredients: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timothy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and lucerne</w:t>
      </w:r>
    </w:p>
    <w:p w:rsidR="00FF620A" w:rsidRPr="00BC77CC" w:rsidRDefault="00FF620A" w:rsidP="00FF62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Well absorbable trace</w:t>
      </w:r>
      <w:r w:rsidR="00FA2E63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elements</w:t>
      </w:r>
    </w:p>
    <w:p w:rsidR="00FF620A" w:rsidRPr="00BC77CC" w:rsidRDefault="005653E8" w:rsidP="00FF62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  <w:r w:rsidRPr="00BC77CC">
        <w:rPr>
          <w:rFonts w:ascii="Segoe UI" w:hAnsi="Segoe UI" w:cs="Segoe UI"/>
          <w:color w:val="000000"/>
          <w:sz w:val="21"/>
          <w:szCs w:val="21"/>
          <w:lang w:val="en-GB"/>
        </w:rPr>
        <w:t>D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oes not contain any synthetic or unnecessary </w:t>
      </w:r>
      <w:r w:rsidR="0006192F" w:rsidRPr="00BC77CC">
        <w:rPr>
          <w:rFonts w:ascii="Segoe UI" w:hAnsi="Segoe UI" w:cs="Segoe UI"/>
          <w:color w:val="000000"/>
          <w:sz w:val="21"/>
          <w:szCs w:val="21"/>
          <w:lang w:val="en-GB"/>
        </w:rPr>
        <w:t>fibres</w:t>
      </w:r>
      <w:r w:rsidR="00FF620A" w:rsidRPr="00BC77CC">
        <w:rPr>
          <w:rFonts w:ascii="Segoe UI" w:hAnsi="Segoe UI" w:cs="Segoe UI"/>
          <w:color w:val="000000"/>
          <w:sz w:val="21"/>
          <w:szCs w:val="21"/>
          <w:lang w:val="en-GB"/>
        </w:rPr>
        <w:t xml:space="preserve"> </w:t>
      </w:r>
    </w:p>
    <w:p w:rsidR="00FF620A" w:rsidRPr="00BC77CC" w:rsidRDefault="00FF620A" w:rsidP="00FF620A">
      <w:pPr>
        <w:rPr>
          <w:rFonts w:ascii="Segoe UI" w:hAnsi="Segoe UI" w:cs="Segoe UI"/>
          <w:color w:val="000000"/>
          <w:sz w:val="21"/>
          <w:szCs w:val="21"/>
          <w:lang w:val="en-GB"/>
        </w:rPr>
      </w:pPr>
    </w:p>
    <w:p w:rsidR="00D66483" w:rsidRPr="00BC77CC" w:rsidRDefault="00D66483" w:rsidP="00D66483">
      <w:pPr>
        <w:rPr>
          <w:lang w:val="en-GB"/>
        </w:rPr>
      </w:pPr>
      <w:r w:rsidRPr="00BC77CC">
        <w:rPr>
          <w:lang w:val="en-GB"/>
        </w:rPr>
        <w:t>Tip!</w:t>
      </w:r>
    </w:p>
    <w:p w:rsidR="00D66483" w:rsidRPr="00BC77CC" w:rsidRDefault="0006192F" w:rsidP="00D66483">
      <w:pPr>
        <w:rPr>
          <w:color w:val="222222"/>
          <w:lang w:val="en-GB" w:eastAsia="nl-NL"/>
        </w:rPr>
      </w:pPr>
      <w:r w:rsidRPr="00BC77CC">
        <w:rPr>
          <w:color w:val="222222"/>
          <w:lang w:val="en-GB" w:eastAsia="nl-NL"/>
        </w:rPr>
        <w:t>Do you only give</w:t>
      </w:r>
      <w:r w:rsidR="00D66483" w:rsidRPr="00BC77CC">
        <w:rPr>
          <w:color w:val="222222"/>
          <w:lang w:val="en-GB" w:eastAsia="nl-NL"/>
        </w:rPr>
        <w:t xml:space="preserve"> Pavo Vital and do you want to give your horse some extra? Then mix it with Pavo DailyPlus or Pavo SpeediBeet.</w:t>
      </w:r>
    </w:p>
    <w:p w:rsidR="00D80EB7" w:rsidRPr="00BC77CC" w:rsidRDefault="00D80EB7">
      <w:pPr>
        <w:rPr>
          <w:lang w:val="en-GB"/>
        </w:rPr>
      </w:pPr>
      <w:r w:rsidRPr="00BC77CC">
        <w:rPr>
          <w:lang w:val="en-GB"/>
        </w:rPr>
        <w:br w:type="page"/>
      </w:r>
    </w:p>
    <w:p w:rsidR="00D80EB7" w:rsidRPr="00BC77CC" w:rsidRDefault="00D80EB7" w:rsidP="00D80EB7">
      <w:pPr>
        <w:rPr>
          <w:rFonts w:cstheme="minorHAnsi"/>
          <w:b/>
          <w:sz w:val="28"/>
          <w:lang w:val="en-GB"/>
        </w:rPr>
      </w:pPr>
      <w:r w:rsidRPr="00BC77CC">
        <w:rPr>
          <w:rFonts w:cstheme="minorHAnsi"/>
          <w:b/>
          <w:sz w:val="28"/>
          <w:lang w:val="en-GB"/>
        </w:rPr>
        <w:lastRenderedPageBreak/>
        <w:t>Product</w:t>
      </w:r>
      <w:r w:rsidR="0006192F" w:rsidRPr="00BC77CC">
        <w:rPr>
          <w:rFonts w:cstheme="minorHAnsi"/>
          <w:b/>
          <w:sz w:val="28"/>
          <w:lang w:val="en-GB"/>
        </w:rPr>
        <w:t xml:space="preserve"> </w:t>
      </w:r>
      <w:r w:rsidRPr="00BC77CC">
        <w:rPr>
          <w:rFonts w:cstheme="minorHAnsi"/>
          <w:b/>
          <w:sz w:val="28"/>
          <w:lang w:val="en-GB"/>
        </w:rPr>
        <w:t>specifications</w:t>
      </w:r>
    </w:p>
    <w:p w:rsidR="00D80EB7" w:rsidRPr="00BC77CC" w:rsidRDefault="00D80EB7" w:rsidP="00D80EB7">
      <w:pPr>
        <w:rPr>
          <w:rFonts w:cstheme="minorHAnsi"/>
          <w:b/>
          <w:lang w:val="en-GB"/>
        </w:rPr>
      </w:pPr>
      <w:r w:rsidRPr="00BC77CC">
        <w:rPr>
          <w:rFonts w:cstheme="minorHAnsi"/>
          <w:b/>
          <w:lang w:val="en-GB"/>
        </w:rPr>
        <w:t>Composition</w:t>
      </w:r>
    </w:p>
    <w:p w:rsidR="00D80EB7" w:rsidRPr="00BC77CC" w:rsidRDefault="00D80EB7" w:rsidP="00D80EB7">
      <w:pPr>
        <w:rPr>
          <w:rFonts w:cstheme="minorHAnsi"/>
          <w:bCs/>
          <w:lang w:val="en-GB"/>
        </w:rPr>
      </w:pPr>
      <w:r w:rsidRPr="00BC77CC">
        <w:rPr>
          <w:rFonts w:cstheme="minorHAnsi"/>
          <w:lang w:val="en-GB"/>
        </w:rPr>
        <w:t>Timothy</w:t>
      </w:r>
      <w:r w:rsidR="0006192F" w:rsidRPr="00BC77CC">
        <w:rPr>
          <w:rFonts w:cstheme="minorHAnsi"/>
          <w:lang w:val="en-GB"/>
        </w:rPr>
        <w:t xml:space="preserve"> </w:t>
      </w:r>
      <w:r w:rsidRPr="00BC77CC">
        <w:rPr>
          <w:rFonts w:cstheme="minorHAnsi"/>
          <w:lang w:val="en-GB"/>
        </w:rPr>
        <w:t>grass (60%)</w:t>
      </w:r>
      <w:r w:rsidRPr="00BC77CC">
        <w:rPr>
          <w:rFonts w:cstheme="minorHAnsi"/>
          <w:lang w:val="en-GB"/>
        </w:rPr>
        <w:br/>
        <w:t xml:space="preserve">Lucerne (30%) </w:t>
      </w:r>
      <w:r w:rsidRPr="00BC77CC">
        <w:rPr>
          <w:rFonts w:cstheme="minorHAnsi"/>
          <w:lang w:val="en-GB"/>
        </w:rPr>
        <w:br/>
        <w:t>Citrus pulp</w:t>
      </w:r>
      <w:r w:rsidRPr="00BC77CC">
        <w:rPr>
          <w:rFonts w:cstheme="minorHAnsi"/>
          <w:lang w:val="en-GB"/>
        </w:rPr>
        <w:br/>
        <w:t>Calcium carbonate</w:t>
      </w:r>
      <w:r w:rsidRPr="00BC77CC">
        <w:rPr>
          <w:rFonts w:cstheme="minorHAnsi"/>
          <w:lang w:val="en-GB"/>
        </w:rPr>
        <w:br/>
        <w:t>Sodium chloride</w:t>
      </w:r>
      <w:r w:rsidRPr="00BC77CC">
        <w:rPr>
          <w:rFonts w:cstheme="minorHAnsi"/>
          <w:lang w:val="en-GB"/>
        </w:rPr>
        <w:br/>
        <w:t>Vitamins</w:t>
      </w:r>
      <w:r w:rsidRPr="00BC77CC">
        <w:rPr>
          <w:rFonts w:cstheme="minorHAnsi"/>
          <w:lang w:val="en-GB"/>
        </w:rPr>
        <w:br/>
        <w:t>Minerals</w:t>
      </w:r>
      <w:r w:rsidRPr="00BC77CC">
        <w:rPr>
          <w:rFonts w:cstheme="minorHAnsi"/>
          <w:lang w:val="en-GB"/>
        </w:rPr>
        <w:br/>
        <w:t>Trace elements</w:t>
      </w:r>
    </w:p>
    <w:p w:rsidR="00D80EB7" w:rsidRPr="00BC77CC" w:rsidRDefault="00D80EB7" w:rsidP="00D80EB7">
      <w:pPr>
        <w:rPr>
          <w:rFonts w:cstheme="minorHAnsi"/>
          <w:b/>
          <w:bCs/>
          <w:lang w:val="en-GB"/>
        </w:rPr>
      </w:pPr>
      <w:r w:rsidRPr="00BC77CC">
        <w:rPr>
          <w:rFonts w:cstheme="minorHAnsi"/>
          <w:b/>
          <w:bCs/>
          <w:lang w:val="en-GB"/>
        </w:rPr>
        <w:t>Nutrients (per kg)</w:t>
      </w:r>
    </w:p>
    <w:tbl>
      <w:tblPr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239"/>
      </w:tblGrid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Crude protein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9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4 %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Crude fat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7 %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Crude fibre 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  28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4 %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Crude ash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16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4 %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Sugar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4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5 %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Starch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  0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="00A446F5">
              <w:rPr>
                <w:rFonts w:cstheme="minorHAnsi"/>
                <w:lang w:val="en-GB"/>
              </w:rPr>
              <w:t>2</w:t>
            </w:r>
            <w:r w:rsidRPr="00BC77CC">
              <w:rPr>
                <w:rFonts w:cstheme="minorHAnsi"/>
                <w:lang w:val="en-GB"/>
              </w:rPr>
              <w:t xml:space="preserve">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Calcium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1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44 %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Phosphor 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 0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26 %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Sodium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1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55 %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Potassium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13 %</w:t>
            </w:r>
          </w:p>
        </w:tc>
      </w:tr>
      <w:tr w:rsidR="00D80EB7" w:rsidRPr="00BC77CC" w:rsidTr="001507DC">
        <w:tc>
          <w:tcPr>
            <w:tcW w:w="1563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Magnesium</w:t>
            </w:r>
          </w:p>
        </w:tc>
        <w:tc>
          <w:tcPr>
            <w:tcW w:w="1239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0</w:t>
            </w:r>
            <w:r w:rsidR="008D09E8" w:rsidRPr="00BC77CC">
              <w:rPr>
                <w:rFonts w:cstheme="minorHAnsi"/>
                <w:lang w:val="en-GB"/>
              </w:rPr>
              <w:t>.</w:t>
            </w:r>
            <w:r w:rsidRPr="00BC77CC">
              <w:rPr>
                <w:rFonts w:cstheme="minorHAnsi"/>
                <w:lang w:val="en-GB"/>
              </w:rPr>
              <w:t>12 %</w:t>
            </w:r>
          </w:p>
        </w:tc>
      </w:tr>
    </w:tbl>
    <w:p w:rsidR="00D80EB7" w:rsidRPr="00BC77CC" w:rsidRDefault="00D80EB7" w:rsidP="00D80EB7">
      <w:pPr>
        <w:rPr>
          <w:rFonts w:cstheme="minorHAnsi"/>
          <w:b/>
          <w:bCs/>
          <w:lang w:val="en-GB"/>
        </w:rPr>
      </w:pPr>
    </w:p>
    <w:p w:rsidR="00D66483" w:rsidRPr="00BC77CC" w:rsidRDefault="00D66483" w:rsidP="00D66483">
      <w:pPr>
        <w:pStyle w:val="HTML-voorafopgemaakt"/>
        <w:rPr>
          <w:rFonts w:ascii="Calibri" w:hAnsi="Calibri" w:cs="Calibri"/>
          <w:b/>
          <w:color w:val="222222"/>
          <w:sz w:val="22"/>
          <w:szCs w:val="22"/>
          <w:lang w:val="en-GB"/>
        </w:rPr>
      </w:pPr>
      <w:r w:rsidRPr="00BC77CC">
        <w:rPr>
          <w:rFonts w:ascii="Calibri" w:hAnsi="Calibri" w:cs="Calibri"/>
          <w:b/>
          <w:color w:val="222222"/>
          <w:sz w:val="22"/>
          <w:szCs w:val="22"/>
          <w:lang w:val="en-GB"/>
        </w:rPr>
        <w:t>Additives</w:t>
      </w:r>
    </w:p>
    <w:p w:rsidR="00D80EB7" w:rsidRPr="00BC77CC" w:rsidRDefault="00D80EB7" w:rsidP="00D80EB7">
      <w:pPr>
        <w:rPr>
          <w:rFonts w:cstheme="minorHAnsi"/>
          <w:b/>
          <w:bCs/>
          <w:lang w:val="en-GB"/>
        </w:rPr>
      </w:pPr>
      <w:r w:rsidRPr="00BC77CC">
        <w:rPr>
          <w:rFonts w:cstheme="minorHAnsi"/>
          <w:b/>
          <w:lang w:val="en-GB"/>
        </w:rPr>
        <w:t>Vitamins (per kg)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</w:tblGrid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/>
                <w:lang w:val="en-GB"/>
              </w:rPr>
            </w:pPr>
            <w:r w:rsidRPr="00BC77CC">
              <w:rPr>
                <w:rFonts w:cstheme="minorHAnsi"/>
                <w:b/>
                <w:lang w:val="en-GB"/>
              </w:rPr>
              <w:t>Vitamin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</w:p>
        </w:tc>
      </w:tr>
      <w:tr w:rsidR="00D80EB7" w:rsidRPr="00BC77CC" w:rsidTr="001507DC">
        <w:trPr>
          <w:trHeight w:val="489"/>
        </w:trPr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A (3a672a)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25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000 IE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D3 (E671)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35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000 IE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Vitamin E (3a700) 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6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000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B1 (3a821)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400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B2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400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B6 (3a831)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250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Vitamin B12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3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500 µg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lastRenderedPageBreak/>
              <w:t>Vitamin C (3a300)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5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000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Pantothenic acid (3a841)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400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Choline (3a890)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876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Folin (3a316)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225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Nicotinamide (3a315)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1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050 mg</w:t>
            </w:r>
          </w:p>
        </w:tc>
      </w:tr>
      <w:tr w:rsidR="00D80EB7" w:rsidRPr="00BC77CC" w:rsidTr="001507DC">
        <w:tc>
          <w:tcPr>
            <w:tcW w:w="2518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D-Biotin (3a880)</w:t>
            </w:r>
          </w:p>
        </w:tc>
        <w:tc>
          <w:tcPr>
            <w:tcW w:w="1276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20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000 mcg</w:t>
            </w:r>
          </w:p>
        </w:tc>
      </w:tr>
    </w:tbl>
    <w:p w:rsidR="00D80EB7" w:rsidRPr="00BC77CC" w:rsidRDefault="00D80EB7" w:rsidP="00D80EB7">
      <w:pPr>
        <w:rPr>
          <w:lang w:val="en-GB"/>
        </w:rPr>
      </w:pPr>
    </w:p>
    <w:p w:rsidR="00D80EB7" w:rsidRPr="00BC77CC" w:rsidRDefault="00D80EB7" w:rsidP="00D80EB7">
      <w:pPr>
        <w:rPr>
          <w:b/>
          <w:lang w:val="en-GB"/>
        </w:rPr>
      </w:pPr>
      <w:r w:rsidRPr="00BC77CC">
        <w:rPr>
          <w:b/>
          <w:lang w:val="en-GB"/>
        </w:rPr>
        <w:t>Trace elements (per kg)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</w:tblGrid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/>
                <w:lang w:val="en-GB"/>
              </w:rPr>
            </w:pPr>
            <w:r w:rsidRPr="00BC77CC">
              <w:rPr>
                <w:rFonts w:cstheme="minorHAnsi"/>
                <w:b/>
                <w:lang w:val="en-GB"/>
              </w:rPr>
              <w:t>Trace element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</w:p>
        </w:tc>
      </w:tr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Copper (3b409)  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800 mg</w:t>
            </w:r>
          </w:p>
        </w:tc>
      </w:tr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Zinc (3b609) 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2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500 mg</w:t>
            </w:r>
          </w:p>
        </w:tc>
      </w:tr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Manganese (E5) 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3</w:t>
            </w:r>
            <w:r w:rsidR="008D09E8" w:rsidRPr="00BC77CC">
              <w:rPr>
                <w:rFonts w:cstheme="minorHAnsi"/>
                <w:lang w:val="en-GB"/>
              </w:rPr>
              <w:t>,</w:t>
            </w:r>
            <w:r w:rsidRPr="00BC77CC">
              <w:rPr>
                <w:rFonts w:cstheme="minorHAnsi"/>
                <w:lang w:val="en-GB"/>
              </w:rPr>
              <w:t>750 mg</w:t>
            </w:r>
          </w:p>
        </w:tc>
      </w:tr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Selenium (E8, 3b8.11) 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10 mg</w:t>
            </w:r>
          </w:p>
        </w:tc>
      </w:tr>
      <w:tr w:rsidR="00D80EB7" w:rsidRPr="00BC77CC" w:rsidTr="001507DC">
        <w:tc>
          <w:tcPr>
            <w:tcW w:w="2802" w:type="dxa"/>
            <w:shd w:val="clear" w:color="auto" w:fill="auto"/>
          </w:tcPr>
          <w:p w:rsidR="00D80EB7" w:rsidRPr="00BC77CC" w:rsidRDefault="00D80EB7" w:rsidP="001507DC">
            <w:pPr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 xml:space="preserve">Iodine (3b202) </w:t>
            </w:r>
          </w:p>
        </w:tc>
        <w:tc>
          <w:tcPr>
            <w:tcW w:w="1275" w:type="dxa"/>
            <w:shd w:val="clear" w:color="auto" w:fill="auto"/>
          </w:tcPr>
          <w:p w:rsidR="00D80EB7" w:rsidRPr="00BC77CC" w:rsidRDefault="00D80EB7" w:rsidP="001507DC">
            <w:pPr>
              <w:jc w:val="right"/>
              <w:rPr>
                <w:rFonts w:cstheme="minorHAnsi"/>
                <w:lang w:val="en-GB"/>
              </w:rPr>
            </w:pPr>
            <w:r w:rsidRPr="00BC77CC">
              <w:rPr>
                <w:rFonts w:cstheme="minorHAnsi"/>
                <w:lang w:val="en-GB"/>
              </w:rPr>
              <w:t>30 mg</w:t>
            </w:r>
          </w:p>
        </w:tc>
      </w:tr>
    </w:tbl>
    <w:p w:rsidR="00FF620A" w:rsidRPr="00BC77CC" w:rsidRDefault="00FF620A" w:rsidP="00FF620A">
      <w:pPr>
        <w:rPr>
          <w:lang w:val="en-GB"/>
        </w:rPr>
      </w:pPr>
    </w:p>
    <w:p w:rsidR="00D66483" w:rsidRPr="00BC77CC" w:rsidRDefault="00D66483" w:rsidP="00D66483">
      <w:pPr>
        <w:rPr>
          <w:color w:val="222222"/>
          <w:lang w:val="en-GB" w:eastAsia="nl-NL"/>
        </w:rPr>
      </w:pPr>
      <w:r w:rsidRPr="00BC77CC">
        <w:rPr>
          <w:b/>
          <w:color w:val="222222"/>
          <w:lang w:val="en-GB" w:eastAsia="nl-NL"/>
        </w:rPr>
        <w:t>Feed advice</w:t>
      </w:r>
      <w:r w:rsidRPr="00BC77CC">
        <w:rPr>
          <w:color w:val="222222"/>
          <w:lang w:val="en-GB" w:eastAsia="nl-NL"/>
        </w:rPr>
        <w:t xml:space="preserve"> </w:t>
      </w:r>
      <w:r w:rsidRPr="00BC77CC">
        <w:rPr>
          <w:color w:val="222222"/>
          <w:lang w:val="en-GB" w:eastAsia="nl-NL"/>
        </w:rPr>
        <w:br/>
        <w:t>Amount per day</w:t>
      </w:r>
    </w:p>
    <w:p w:rsidR="00D66483" w:rsidRPr="00BC77CC" w:rsidRDefault="00D66483" w:rsidP="00D66483">
      <w:pPr>
        <w:rPr>
          <w:color w:val="222222"/>
          <w:lang w:val="en-GB" w:eastAsia="nl-NL"/>
        </w:rPr>
      </w:pPr>
      <w:r w:rsidRPr="00BC77CC">
        <w:rPr>
          <w:color w:val="222222"/>
          <w:lang w:val="en-GB" w:eastAsia="nl-NL"/>
        </w:rPr>
        <w:t>Horse (600 kg)</w:t>
      </w:r>
      <w:r w:rsidR="00AA6F06" w:rsidRPr="00BC77CC">
        <w:rPr>
          <w:color w:val="222222"/>
          <w:lang w:val="en-GB" w:eastAsia="nl-NL"/>
        </w:rPr>
        <w:tab/>
        <w:t>100 gram</w:t>
      </w:r>
      <w:r w:rsidR="008D09E8" w:rsidRPr="00BC77CC">
        <w:rPr>
          <w:color w:val="222222"/>
          <w:lang w:val="en-GB" w:eastAsia="nl-NL"/>
        </w:rPr>
        <w:t>s</w:t>
      </w:r>
      <w:r w:rsidRPr="00BC77CC">
        <w:rPr>
          <w:color w:val="222222"/>
          <w:lang w:val="en-GB" w:eastAsia="nl-NL"/>
        </w:rPr>
        <w:br/>
        <w:t>Pony (300 kg)</w:t>
      </w:r>
      <w:r w:rsidR="00AA6F06" w:rsidRPr="00BC77CC">
        <w:rPr>
          <w:color w:val="222222"/>
          <w:lang w:val="en-GB" w:eastAsia="nl-NL"/>
        </w:rPr>
        <w:tab/>
        <w:t>50 gram</w:t>
      </w:r>
      <w:r w:rsidR="008D09E8" w:rsidRPr="00BC77CC">
        <w:rPr>
          <w:color w:val="222222"/>
          <w:lang w:val="en-GB" w:eastAsia="nl-NL"/>
        </w:rPr>
        <w:t>s</w:t>
      </w:r>
    </w:p>
    <w:p w:rsidR="00D66483" w:rsidRPr="00BC77CC" w:rsidRDefault="00D66483" w:rsidP="00D66483">
      <w:pPr>
        <w:rPr>
          <w:rFonts w:ascii="Tahoma" w:hAnsi="Tahoma" w:cs="Tahoma"/>
          <w:sz w:val="20"/>
          <w:szCs w:val="20"/>
          <w:lang w:val="en-GB"/>
        </w:rPr>
      </w:pPr>
    </w:p>
    <w:p w:rsidR="00D66483" w:rsidRPr="00BC77CC" w:rsidRDefault="00D66483" w:rsidP="00A446F5">
      <w:pPr>
        <w:rPr>
          <w:rFonts w:ascii="Tahoma" w:hAnsi="Tahoma" w:cs="Tahoma"/>
          <w:sz w:val="20"/>
          <w:szCs w:val="20"/>
          <w:lang w:val="en-GB"/>
        </w:rPr>
      </w:pPr>
      <w:r w:rsidRPr="00BC77CC">
        <w:rPr>
          <w:b/>
          <w:color w:val="222222"/>
          <w:lang w:val="en-GB"/>
        </w:rPr>
        <w:t>We would like to answer your nutritional questions!</w:t>
      </w:r>
      <w:r w:rsidRPr="00BC77CC">
        <w:rPr>
          <w:color w:val="222222"/>
          <w:lang w:val="en-GB"/>
        </w:rPr>
        <w:br/>
      </w:r>
    </w:p>
    <w:p w:rsidR="00D66483" w:rsidRPr="00BC77CC" w:rsidRDefault="00D66483" w:rsidP="00FF620A">
      <w:pPr>
        <w:rPr>
          <w:lang w:val="en-GB"/>
        </w:rPr>
      </w:pPr>
    </w:p>
    <w:sectPr w:rsidR="00D66483" w:rsidRPr="00BC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96"/>
    <w:multiLevelType w:val="hybridMultilevel"/>
    <w:tmpl w:val="6E08C834"/>
    <w:lvl w:ilvl="0" w:tplc="229049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AAB"/>
    <w:multiLevelType w:val="hybridMultilevel"/>
    <w:tmpl w:val="40A8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475"/>
    <w:multiLevelType w:val="hybridMultilevel"/>
    <w:tmpl w:val="71B472F8"/>
    <w:lvl w:ilvl="0" w:tplc="229049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233"/>
    <w:multiLevelType w:val="hybridMultilevel"/>
    <w:tmpl w:val="8B8AC9F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C5FB8"/>
    <w:multiLevelType w:val="hybridMultilevel"/>
    <w:tmpl w:val="DCB81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5ACB"/>
    <w:multiLevelType w:val="hybridMultilevel"/>
    <w:tmpl w:val="23168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E9D"/>
    <w:multiLevelType w:val="hybridMultilevel"/>
    <w:tmpl w:val="4F3874FA"/>
    <w:lvl w:ilvl="0" w:tplc="229049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32C8"/>
    <w:multiLevelType w:val="hybridMultilevel"/>
    <w:tmpl w:val="DF509560"/>
    <w:lvl w:ilvl="0" w:tplc="229049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1902"/>
    <w:multiLevelType w:val="hybridMultilevel"/>
    <w:tmpl w:val="33E44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57C36"/>
    <w:multiLevelType w:val="hybridMultilevel"/>
    <w:tmpl w:val="E97A92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BB3B38"/>
    <w:multiLevelType w:val="hybridMultilevel"/>
    <w:tmpl w:val="B7F4A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5C9B"/>
    <w:multiLevelType w:val="hybridMultilevel"/>
    <w:tmpl w:val="55B43892"/>
    <w:lvl w:ilvl="0" w:tplc="229049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4B41"/>
    <w:multiLevelType w:val="hybridMultilevel"/>
    <w:tmpl w:val="84D69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53145"/>
    <w:multiLevelType w:val="hybridMultilevel"/>
    <w:tmpl w:val="D7A45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A"/>
    <w:rsid w:val="0006192F"/>
    <w:rsid w:val="005653E8"/>
    <w:rsid w:val="00583563"/>
    <w:rsid w:val="0079303F"/>
    <w:rsid w:val="008D09E8"/>
    <w:rsid w:val="008F1F8A"/>
    <w:rsid w:val="009E7C3A"/>
    <w:rsid w:val="00A446F5"/>
    <w:rsid w:val="00AA6F06"/>
    <w:rsid w:val="00BC77CC"/>
    <w:rsid w:val="00D66483"/>
    <w:rsid w:val="00D80EB7"/>
    <w:rsid w:val="00F0368D"/>
    <w:rsid w:val="00F4646F"/>
    <w:rsid w:val="00FA2E6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20A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66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66483"/>
    <w:rPr>
      <w:rFonts w:ascii="Courier New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20A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66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66483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Snelvertaler.nl/Fasttranslator.com</vt:lpstr>
      <vt:lpstr/>
    </vt:vector>
  </TitlesOfParts>
  <Company>Snelvertaler.nl/Fasttranslator.com</Company>
  <LinksUpToDate>false</LinksUpToDate>
  <CharactersWithSpaces>5035</CharactersWithSpaces>
  <SharedDoc>false</SharedDoc>
  <HyperlinkBase>http://www.fasttranslator.com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Snelvertaler.nl/Fasttranslator.com</dc:title>
  <dc:subject>Snelvertaler.nl/Fasttranslator.com</dc:subject>
  <dc:creator>Snelvertaler.nl/Fasttranslator.com</dc:creator>
  <cp:keywords>Snelvertaler.nl/Fasttranslator.com</cp:keywords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</dc:description>
  <cp:lastModifiedBy>cvers</cp:lastModifiedBy>
  <cp:revision>2</cp:revision>
  <dcterms:created xsi:type="dcterms:W3CDTF">2017-12-07T11:57:00Z</dcterms:created>
  <dcterms:modified xsi:type="dcterms:W3CDTF">2017-12-07T11:57:00Z</dcterms:modified>
</cp:coreProperties>
</file>